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0"/>
        <w:gridCol w:w="2340"/>
        <w:gridCol w:w="3222"/>
        <w:gridCol w:w="2736"/>
        <w:gridCol w:w="2736"/>
        <w:gridCol w:w="2736"/>
      </w:tblGrid>
      <w:tr w:rsidR="00C3367D" w:rsidRPr="00C975BE" w:rsidTr="00C975BE">
        <w:trPr>
          <w:trHeight w:val="584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C3367D" w:rsidP="00ED000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b/>
                <w:bCs/>
                <w:sz w:val="20"/>
                <w:szCs w:val="20"/>
              </w:rPr>
              <w:t>Entry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C3367D" w:rsidP="00ED000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b/>
                <w:bCs/>
                <w:sz w:val="20"/>
                <w:szCs w:val="20"/>
              </w:rPr>
              <w:t>Crisis Symptoms</w:t>
            </w:r>
          </w:p>
        </w:tc>
        <w:tc>
          <w:tcPr>
            <w:tcW w:w="32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C3367D" w:rsidP="00ED000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b/>
                <w:bCs/>
                <w:sz w:val="20"/>
                <w:szCs w:val="20"/>
              </w:rPr>
              <w:t>Benefits of Treatment</w:t>
            </w:r>
          </w:p>
        </w:tc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C3367D" w:rsidP="00ED000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b/>
                <w:bCs/>
                <w:sz w:val="20"/>
                <w:szCs w:val="20"/>
              </w:rPr>
              <w:t>Risks of Treatment</w:t>
            </w:r>
          </w:p>
        </w:tc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C3367D" w:rsidP="00ED000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b/>
                <w:bCs/>
                <w:sz w:val="20"/>
                <w:szCs w:val="20"/>
              </w:rPr>
              <w:t>Professionals Involved</w:t>
            </w:r>
          </w:p>
        </w:tc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C3367D" w:rsidP="00ED000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b/>
                <w:bCs/>
                <w:sz w:val="20"/>
                <w:szCs w:val="20"/>
              </w:rPr>
              <w:t>Lifestyle Concerns</w:t>
            </w:r>
          </w:p>
        </w:tc>
      </w:tr>
      <w:tr w:rsidR="00C3367D" w:rsidRPr="00C975BE" w:rsidTr="00C975BE">
        <w:trPr>
          <w:trHeight w:val="471"/>
        </w:trPr>
        <w:tc>
          <w:tcPr>
            <w:tcW w:w="8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C3367D" w:rsidP="00ED000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>Anna 10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346250" w:rsidP="00ED000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>Chest and leg pain, and fever</w:t>
            </w:r>
          </w:p>
        </w:tc>
        <w:tc>
          <w:tcPr>
            <w:tcW w:w="32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9142C2" w:rsidP="00ED000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>Prevention of stroke,</w:t>
            </w:r>
            <w:r w:rsidR="00346250" w:rsidRPr="00C975BE">
              <w:rPr>
                <w:sz w:val="20"/>
                <w:szCs w:val="20"/>
              </w:rPr>
              <w:t xml:space="preserve"> reduction of the significance of the symptoms.</w:t>
            </w:r>
          </w:p>
        </w:tc>
        <w:tc>
          <w:tcPr>
            <w:tcW w:w="27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9142C2" w:rsidP="00ED000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>Abdominal pains and shortness of breath</w:t>
            </w:r>
          </w:p>
        </w:tc>
        <w:tc>
          <w:tcPr>
            <w:tcW w:w="27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9142C2" w:rsidP="00ED000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>Physical Therapist</w:t>
            </w:r>
          </w:p>
        </w:tc>
        <w:tc>
          <w:tcPr>
            <w:tcW w:w="27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9142C2" w:rsidP="00ED000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>Interruptions in your daily schedule</w:t>
            </w:r>
          </w:p>
        </w:tc>
      </w:tr>
      <w:tr w:rsidR="00C3367D" w:rsidRPr="00C975BE" w:rsidTr="00C975BE">
        <w:trPr>
          <w:trHeight w:val="864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C3367D" w:rsidP="00ED000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>Anna 17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782E3A" w:rsidP="00ED000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>Chest pain, hip pain, yellowish eyes</w:t>
            </w:r>
          </w:p>
        </w:tc>
        <w:tc>
          <w:tcPr>
            <w:tcW w:w="3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782E3A" w:rsidP="00ED000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>Longer life, fewer pain episodes</w:t>
            </w:r>
          </w:p>
        </w:tc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782E3A" w:rsidP="00ED000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>Nauseous, tired, loss of hair, shortness of breath, paleness, pregnancy problems</w:t>
            </w:r>
          </w:p>
        </w:tc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782E3A" w:rsidP="00ED000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>Pediatric hematologist and clinical trial researcher</w:t>
            </w:r>
          </w:p>
        </w:tc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782E3A" w:rsidP="00ED000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 xml:space="preserve">Couldn’t participate in activities that her peers couldn’t participate in (skiing, class trips, </w:t>
            </w:r>
            <w:r w:rsidR="00F9154A" w:rsidRPr="00C975BE">
              <w:rPr>
                <w:sz w:val="20"/>
                <w:szCs w:val="20"/>
              </w:rPr>
              <w:t>etc.</w:t>
            </w:r>
            <w:r w:rsidRPr="00C975BE">
              <w:rPr>
                <w:sz w:val="20"/>
                <w:szCs w:val="20"/>
              </w:rPr>
              <w:t>).</w:t>
            </w:r>
          </w:p>
        </w:tc>
      </w:tr>
      <w:tr w:rsidR="00C3367D" w:rsidRPr="00C975BE" w:rsidTr="00C975BE">
        <w:trPr>
          <w:trHeight w:val="864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C3367D" w:rsidP="00ED000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>Anna 22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346250" w:rsidP="00ED000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>Pain in hip and leg</w:t>
            </w:r>
          </w:p>
        </w:tc>
        <w:tc>
          <w:tcPr>
            <w:tcW w:w="3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346250" w:rsidP="00ED000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>She would be able to be more active.</w:t>
            </w:r>
          </w:p>
        </w:tc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346250" w:rsidP="00ED000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 xml:space="preserve">She would need a hip replacement every ten years along with a long recovery time. </w:t>
            </w:r>
          </w:p>
        </w:tc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346250" w:rsidP="00ED000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>orthopedist</w:t>
            </w:r>
          </w:p>
        </w:tc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346250" w:rsidP="00ED000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 xml:space="preserve">Put off job hunting and more difficult to get around. </w:t>
            </w:r>
          </w:p>
        </w:tc>
      </w:tr>
      <w:tr w:rsidR="00C3367D" w:rsidRPr="00C975BE" w:rsidTr="00C975BE">
        <w:trPr>
          <w:trHeight w:val="1213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C3367D" w:rsidP="00ED000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>Anna 31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2C2" w:rsidRPr="00C975BE" w:rsidRDefault="009142C2" w:rsidP="00ED000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>Emotionally distress</w:t>
            </w:r>
          </w:p>
          <w:p w:rsidR="00C3367D" w:rsidRPr="00C975BE" w:rsidRDefault="009142C2" w:rsidP="00ED000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346250" w:rsidP="00ED000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>Giving life and creating a family</w:t>
            </w:r>
          </w:p>
        </w:tc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9142C2" w:rsidP="00ED000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>Baby would get sickle cell disease</w:t>
            </w:r>
          </w:p>
        </w:tc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346250" w:rsidP="00ED000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>Hematologist</w:t>
            </w:r>
          </w:p>
        </w:tc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9142C2" w:rsidP="00ED000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>You can’t work for a while, having a baby with sickle could cause frequent trips to the hospitals, and birth defects</w:t>
            </w:r>
          </w:p>
        </w:tc>
      </w:tr>
      <w:tr w:rsidR="00C3367D" w:rsidRPr="00C975BE" w:rsidTr="00C975BE">
        <w:trPr>
          <w:trHeight w:val="1186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C3367D" w:rsidP="00ED000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>4 year old male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F9154A" w:rsidP="00ED000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>Chest pain, pale skin, headache, dizziness, yellow eyes or skin, coldness in the hands and feet</w:t>
            </w:r>
          </w:p>
        </w:tc>
        <w:tc>
          <w:tcPr>
            <w:tcW w:w="3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F9154A" w:rsidP="00ED000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>Prevention of infections, pain, and complications</w:t>
            </w:r>
            <w:bookmarkStart w:id="0" w:name="_GoBack"/>
            <w:bookmarkEnd w:id="0"/>
          </w:p>
        </w:tc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F9154A" w:rsidP="00ED000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>Child may be allergic to penicillin or may be more likely to get the flu because of annual flu shots</w:t>
            </w:r>
          </w:p>
        </w:tc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F9154A" w:rsidP="00ED000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>Pediatricians</w:t>
            </w:r>
          </w:p>
        </w:tc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F9154A" w:rsidP="00ED000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>Makes living harder on the young life of the child</w:t>
            </w:r>
          </w:p>
        </w:tc>
      </w:tr>
      <w:tr w:rsidR="00C3367D" w:rsidRPr="00C975BE" w:rsidTr="00C975BE">
        <w:trPr>
          <w:trHeight w:val="1033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C3367D" w:rsidP="00C975B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>7 year old female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213AD7" w:rsidP="00C975B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>Chronic bone pain</w:t>
            </w:r>
          </w:p>
        </w:tc>
        <w:tc>
          <w:tcPr>
            <w:tcW w:w="3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213AD7" w:rsidP="00C975B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 xml:space="preserve">Hydroxyurea is an oral medicine that reduces or prevents </w:t>
            </w:r>
            <w:proofErr w:type="spellStart"/>
            <w:r w:rsidRPr="00C975BE">
              <w:rPr>
                <w:sz w:val="20"/>
                <w:szCs w:val="20"/>
              </w:rPr>
              <w:t>scd</w:t>
            </w:r>
            <w:proofErr w:type="spellEnd"/>
            <w:r w:rsidRPr="00C975BE">
              <w:rPr>
                <w:sz w:val="20"/>
                <w:szCs w:val="20"/>
              </w:rPr>
              <w:t xml:space="preserve"> symptoms</w:t>
            </w:r>
          </w:p>
        </w:tc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213AD7" w:rsidP="00C975B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>It can cause the white blood cell count or platelet count to decreas</w:t>
            </w:r>
            <w:r w:rsidR="00C975BE" w:rsidRPr="00C975BE">
              <w:rPr>
                <w:sz w:val="20"/>
                <w:szCs w:val="20"/>
              </w:rPr>
              <w:t>e. In rare occasions it can wors</w:t>
            </w:r>
            <w:r w:rsidRPr="00C975BE">
              <w:rPr>
                <w:sz w:val="20"/>
                <w:szCs w:val="20"/>
              </w:rPr>
              <w:t>en the anemia,</w:t>
            </w:r>
          </w:p>
        </w:tc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213AD7" w:rsidP="00C975B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>Hematologist</w:t>
            </w:r>
          </w:p>
        </w:tc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213AD7" w:rsidP="00C975BE">
            <w:pPr>
              <w:spacing w:after="0"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>She has to go to therapy for the pain, there are mental health concerns, and constant doctor visits</w:t>
            </w:r>
          </w:p>
        </w:tc>
      </w:tr>
      <w:tr w:rsidR="00C3367D" w:rsidRPr="00C975BE" w:rsidTr="00C975BE">
        <w:trPr>
          <w:trHeight w:val="864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C3367D" w:rsidP="00ED000E">
            <w:pPr>
              <w:spacing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 xml:space="preserve">15 year old male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782E3A" w:rsidP="00ED000E">
            <w:pPr>
              <w:spacing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>Fever, pain, weakness or fatigue, abdominal pain and swelling, headaches, fast heartbeats, shortness of breath.</w:t>
            </w:r>
          </w:p>
        </w:tc>
        <w:tc>
          <w:tcPr>
            <w:tcW w:w="3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F9154A" w:rsidP="00C975BE">
            <w:pPr>
              <w:spacing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 xml:space="preserve">Bone marrow transplant can cure sickle cell disease with variable success. </w:t>
            </w:r>
            <w:r w:rsidR="00C975BE" w:rsidRPr="00C975BE">
              <w:rPr>
                <w:sz w:val="20"/>
                <w:szCs w:val="20"/>
              </w:rPr>
              <w:t>R</w:t>
            </w:r>
            <w:r w:rsidRPr="00C975BE">
              <w:rPr>
                <w:sz w:val="20"/>
                <w:szCs w:val="20"/>
              </w:rPr>
              <w:t xml:space="preserve">eplacing the bone marrow that produces sickled cells with bone marrow that produces normal red blood cells in turn replaces the sickled red blood </w:t>
            </w:r>
            <w:r w:rsidR="00C975BE" w:rsidRPr="00C975BE">
              <w:rPr>
                <w:sz w:val="20"/>
                <w:szCs w:val="20"/>
              </w:rPr>
              <w:t>cells.</w:t>
            </w:r>
          </w:p>
        </w:tc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F9154A" w:rsidP="00ED000E">
            <w:pPr>
              <w:spacing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>Chest pain, drop in blood pressure, fever, chills, flushing, funny taste in the mouth, headache, hives, nausea, pain, shortness of breath.</w:t>
            </w:r>
          </w:p>
        </w:tc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782E3A" w:rsidP="00ED000E">
            <w:pPr>
              <w:spacing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 xml:space="preserve">Bone marrow transplant nurse coordinator, social workers, dietitians, physical therapists, pastoral care, </w:t>
            </w:r>
            <w:r w:rsidR="00F9154A" w:rsidRPr="00C975BE">
              <w:rPr>
                <w:sz w:val="20"/>
                <w:szCs w:val="20"/>
              </w:rPr>
              <w:t>pharmacists, respiratory therapists, lab technicians, infectious disease specialists, dermatologists, gastroenterologists, psychologists</w:t>
            </w:r>
          </w:p>
        </w:tc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67D" w:rsidRPr="00C975BE" w:rsidRDefault="00782E3A" w:rsidP="00ED000E">
            <w:pPr>
              <w:spacing w:line="240" w:lineRule="auto"/>
              <w:rPr>
                <w:sz w:val="20"/>
                <w:szCs w:val="20"/>
              </w:rPr>
            </w:pPr>
            <w:r w:rsidRPr="00C975BE">
              <w:rPr>
                <w:sz w:val="20"/>
                <w:szCs w:val="20"/>
              </w:rPr>
              <w:t>Organ damage, relapse, secondary (new) cancers, abnormal growth, infertility, hormone changes, cataracts.</w:t>
            </w:r>
          </w:p>
        </w:tc>
      </w:tr>
    </w:tbl>
    <w:p w:rsidR="002B5D1F" w:rsidRDefault="00C975BE"/>
    <w:sectPr w:rsidR="002B5D1F" w:rsidSect="00ED00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7D"/>
    <w:rsid w:val="00136700"/>
    <w:rsid w:val="00213AD7"/>
    <w:rsid w:val="00346250"/>
    <w:rsid w:val="00782E3A"/>
    <w:rsid w:val="009142C2"/>
    <w:rsid w:val="00B74DE1"/>
    <w:rsid w:val="00C3367D"/>
    <w:rsid w:val="00C975BE"/>
    <w:rsid w:val="00ED000E"/>
    <w:rsid w:val="00F9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402FA-750D-44F1-AA4E-A407C605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Mountjoy, Natalie J ()</dc:creator>
  <cp:keywords/>
  <dc:description/>
  <cp:lastModifiedBy>Mountjoy, Natalie J ()</cp:lastModifiedBy>
  <cp:revision>1</cp:revision>
  <cp:lastPrinted>2015-12-01T21:33:00Z</cp:lastPrinted>
  <dcterms:created xsi:type="dcterms:W3CDTF">2015-12-01T20:18:00Z</dcterms:created>
  <dcterms:modified xsi:type="dcterms:W3CDTF">2015-12-01T21:41:00Z</dcterms:modified>
</cp:coreProperties>
</file>